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31 vom 6. März 2012</w:t>
      </w:r>
    </w:p>
    <w:p>
      <w:r>
        <w:t>VS Kantonsgericht, 2012-03-06, FR</w:t>
      </w:r>
    </w:p>
    <w:p>
      <w:r>
        <w:rPr>
          <w:b/>
        </w:rPr>
        <w:t xml:space="preserve">Quelle: </w:t>
      </w:r>
      <w:r>
        <w:t>https://mcp.opencaselaw.ch/entscheid/vs_gerichte_P3 12 31</w:t>
      </w:r>
    </w:p>
    <w:p>
      <w:r>
        <w:t>FR: VS_GERICHTE P3 12 31 du 6 mars 2012</w:t>
      </w:r>
    </w:p>
    <w:p>
      <w:r>
        <w:t>IT: VS_GERICHTE P3 12 31 del 6 marzo 2012</w:t>
      </w:r>
    </w:p>
    <w:p>
      <w:pPr>
        <w:pStyle w:val="Heading2"/>
      </w:pPr>
      <w:r>
        <w:t>Regeste</w:t>
      </w:r>
    </w:p>
    <w:p>
      <w:r>
        <w:t>JUGCIV P3 12 31 ORDONNANCE DU 6 MARS 2012 Tribunal cantonal du Valais Chambre pénale Composition : Jacques Berthouzoz, juge unique ; Frédéric Carron, greffier en la cause pénale X___________, recourant, représenté par Maître A___________ contre l’ordonnance rendue le 8 février 2012 par le Tribunal des mesures de contrainte (prolongation de la détention provisoire ; art. 227 CPP)</w:t>
      </w:r>
    </w:p>
    <w:p>
      <w:pPr>
        <w:pStyle w:val="Heading2"/>
      </w:pPr>
      <w:r>
        <w:t>Erwägungen</w:t>
      </w:r>
    </w:p>
    <w:p>
      <w:r>
        <w:rPr>
          <w:b/>
        </w:rPr>
        <w:t>E. 1.1</w:t>
      </w:r>
    </w:p>
    <w:p>
      <w:r>
        <w:t>Un recours peut être formé devant un juge unique de la chambre pénale contre la décision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Bâle 2011,</w:t>
      </w:r>
    </w:p>
    <w:p>
      <w:r>
        <w:t>- 4 -</w:t>
      </w:r>
    </w:p>
    <w:p>
      <w:r>
        <w:t>nos 5, 6 et 20 ad art. 385 CPP), l’autorité de recours examine seulement les griefs qui sont soulevés.</w:t>
      </w:r>
    </w:p>
    <w:p>
      <w:r>
        <w:rPr>
          <w:b/>
        </w:rPr>
        <w:t>E. 1.2</w:t>
      </w:r>
    </w:p>
    <w:p>
      <w:r>
        <w:t>En l’espèce, X___________ a qualité pour recourir, dès lors qu’il est prévenu (art. 104 al. 1 let. a et 111 al. 1 CPP) et détenu (art. 222 CPP) et qu’il a un intérêt juridiquement protégé à l’annulation de la décision ordonnant la prolongation de sa détention provisoire (art. 382 al. 1 CPP). Son recours, qui a été adressé dans le délai de dix jours dès la notification écrite de l’ordonnance litigieuse (art. 90 al. 1, 91 al. 1 et 3, 384 let. b et 396 al. 1 CPP) et qui respecte par ailleurs les conditions de motivation et de forme (art. 385 al. 1 et 396 al. 1 CPP), est donc recevable.</w:t>
      </w:r>
    </w:p>
    <w:p>
      <w:r>
        <w:rPr>
          <w:b/>
        </w:rPr>
        <w:t>E. 2</w:t>
      </w:r>
    </w:p>
    <w:p>
      <w:r>
        <w:t>Dans un grief d’ordre formel qu’il convient d’examiner en premier lieu, X___________ se plaint tout d’abord d’une violation de son droit d’être entendu.</w:t>
      </w:r>
    </w:p>
    <w:p>
      <w:r>
        <w:rPr>
          <w:b/>
        </w:rPr>
        <w:t>E. 2.1</w:t>
      </w:r>
    </w:p>
    <w:p>
      <w:r>
        <w:t>La jurisprudence a déduit du droit d’être entendu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w:t>
      </w:r>
    </w:p>
    <w:p>
      <w:r>
        <w:rPr>
          <w:b/>
        </w:rPr>
        <w:t>E. 2.2</w:t>
      </w:r>
    </w:p>
    <w:p>
      <w:r>
        <w:t>En l’occurrence, le juge des mesures de contrainte a retenu un risque de récidive, « compte tenu de la gravité et des circonstances de l’acte commis ». Une telle motivation, certes très brèves, est suffisante. D’ailleurs, sur le vu de son écriture de recours, force est de constater que X___________ – qui semble confondre motivation insuffisante et motivation contraire au droit – l’a très bien comprise et n’a aucunement été empêché de recourir efficacement sur le danger de réitération. Le grief doit donc être rejeté, étant rappelé que le juge n’a pas l’obligation de discuter tous ceux invoqués par les parties. Quoi qu’il en soit, en matière de détention provisoire, la violation du droit d’être entendu n’a pas pour conséquence la mise en liberté immédiate du recourant (arrêt 1B_269/2011 du 20 juin 2011 consid. 3 et les arrêts).</w:t>
      </w:r>
    </w:p>
    <w:p>
      <w:r>
        <w:rPr>
          <w:b/>
        </w:rPr>
        <w:t>E. 3</w:t>
      </w:r>
    </w:p>
    <w:p>
      <w:r>
        <w:t>X___________ invoque ensuite une violation de la présomption d’innocence (art. 10 al. 1 CPP). Ce grief ne peut également être que rejeté. En effet, d’une part, la présomption d’innocence s’impose au juge de fond, mais ne s’applique pas en tant que telle au stade de la détention (ATF 137 IV 122 consid. 3.2 ; 116 Ia 143 consid. 3c). D’autre part, le simple fait pour le juge des mesures de contrainte de retenir que, « compte tenu de la gravité et des circonstances de l’acte commis, il y a par ailleurs lieu de craindre, en cas de mise en liberté, la répétition d’un acte semblable à celui dont l’instruction est en cours », ne signifie pas encore que le recourant s’est rendu</w:t>
      </w:r>
    </w:p>
    <w:p>
      <w:r>
        <w:t>- 5 -</w:t>
      </w:r>
    </w:p>
    <w:p>
      <w:r>
        <w:t>coupable d’un meurtre (art. 111 CP). A cet égard, on observe que X___________ reconnaît avoir introduit dans son Fass 90 un magasin muni d’une cartouche et avoir fait un mouvement de charge, le tout alors qu’il se disputait avec B___________. Il ne s’agit certainement pas là d’un acte de peu de gravité, même si l’on envisage la thèse de l’accident.</w:t>
      </w:r>
    </w:p>
    <w:p>
      <w:r>
        <w:rPr>
          <w:b/>
        </w:rPr>
        <w:t>E. 4</w:t>
      </w:r>
    </w:p>
    <w:p>
      <w:r>
        <w:t>X___________ conteste enfin tout risque de récidive (art. 221 al. 1 let. c CPP).</w:t>
      </w:r>
    </w:p>
    <w:p>
      <w:r>
        <w:rPr>
          <w:b/>
        </w:rPr>
        <w:t>E. 4.1</w:t>
      </w:r>
    </w:p>
    <w:p>
      <w:r>
        <w:t>Une mesure de détention provisoire n’est compatible avec la liberté personnelle (art. 10 al. 2 Cst. et 5 CEDH) que si elle repose sur une base légale (art. 31 al. 1 et 36 al. 1 Cst.).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(art. 221 al. 1 let. a, b et c CPP). En rapport avec le risque de récidive, l’art. 31 al. 1 Cst. précise que « nul ne peut être privé de sa liberté si ce n’est dans les cas prévus par la loi et selon les formes qu’elle prescrit ». L’art. 5 par. 1 CEDH est de teneur analogue. Il prévoit expressément la mise en détention provisoire d’une personne lorsqu’il y a « des motifs raisonnables de croire à la nécessité de l’empêcher de commettre une infraction ». Quant à l’art. 221 al. 1 let. c CPP, il énonce que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Lorsque la question était réglée par les codes de procédure cantonaux (et par la PPF), la jurisprudence considérait que le maintien en détention provisoire était admissible lorsque le pronostic de récidive était très défavorable et si les délits à craindre étaient de nature grave. La simple possibilité, hypothétique, de commission de nouvelles infractions de même nature, ou la vraisemblance que soient commises des infractions mineures, constituaient des motifs insuffisants (ATF 137 IV 13 consid. 4.5 ; 135 I 71 consid. 2.3 ; 133 I 270 consid. 2.2 ; 125 I 60 consid. 3a). La jurisprudence se montrait cependant moins exigeante lorsqu’il s’agissait de délits de violence graves, car le risque à faire courir aux victimes potentielles était alors considéré comme trop important. Il y avait lieu de tenir compte de l’état psychique du prévenu, en particulier son impulsivité et son agressivité (ATF 123 I 268 consid. 2c et e). Selon la jurisprudence, si le législateur a voulu désormais poser des conditions strictes en matière de risque de réitération, en exigeant en principe l’existence d’antécédents, il n’a pas exclu que le risque de réitération puisse être également admis dans des cas particuliers alors qu’il n’existe qu’un antécédent, voire même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(art. 221 al. 2 CPP ; FF</w:t>
      </w:r>
    </w:p>
    <w:p>
      <w:r>
        <w:t>- 6 -</w:t>
      </w:r>
    </w:p>
    <w:p>
      <w:r>
        <w:t>2005 p. 2011 ; ATF 137 IV 13 consid. 3 et 4 ; arrêts 1B_164/2011 du 20 avril 2011 consid. 3.1 et 3.2 ; 1B_133/2011 du 12 avril 2011 consid. 4.1, 4.2 et 4.7 ; 1B_25/2011 du 14 mars 2011). Les infractions que le prévenu est fortement soupçonné d’avoir commises dans la procédure pénale en cours ayant entraîné sa mise en détention provisoire, peuvent également être prises en compte dans l’examen du risque de récidive. Dans ce cas, le motif de détention ne doit toutefois être admis que lorsqu’il peut être constaté que le prévenu a commis ces infractions avec une probabilité confinant à la certitude (ATF 137 IV 84 consid. 3.2 et les références).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L’art. 237 al. 3 CPP précise que, pour surveiller l’exécution de ces meures, le tribunal peut ordonner l’utilisation d’appareils techniques qui peuvent être fixés à la personne sous surveillance (arrêt 1B_654/2011 du</w:t>
      </w:r>
    </w:p>
    <w:p>
      <w:r>
        <w:rPr>
          <w:b/>
        </w:rPr>
        <w:t>E. 4.2</w:t>
      </w:r>
    </w:p>
    <w:p>
      <w:r>
        <w:t>En l’espèce, on relève tout d’abord que les faits qui sont reprochés à X___________ sont des plus graves, puisque l’instruction ouverte à son encontre, le 5 novembre 2011, l’est pour le meurtre (art. 111 CP) de son amie B___________. Sur le vu de la jurisprudence précitée, l’existence d’un ou de plusieurs d’antécédents de sa part n’est donc nullement exigée pour pouvoir retenir un éventuel risque de récidive. Quant aux faits visés par la procédure pénale en cours, ils sont suffisamment établis, dès lors que le recourant ne conteste pas être à l’origine du coup de feu mortel. Ils peuvent donc être pris en compte dans l’examen du danger de réitération. Relativement à la crainte que l’on peut ensuite avoir que X___________ « compromette sérieusement la sécurité d’autrui par des crimes ou des délits graves » (cf. art. 221 al. 1 let. c CPP), il convient d’attendre, selon la pratique constante de la chambre pénale, que le Dr D___________ et le psychologue E___________ déposent leur rapport d’expertise psychiatrique, lequel comprendra notamment une appréciation du risque de récidive et dont rien n’indique qu’il ne sera pas rendu dans un délai raisonnable (arrêt 1B_300/2007 du 15 janvier 2008 consid. 3.5). Une prudence toute particulière s’impose d’autant plus en la matière qu’il est question d’homicide, que les Drs H___________ et I___________ ont diagnostiqué chez le recourant une structure de la personnalité de type psychotique organisée sur un mode de défense dyssociale, qui a pour conséquence l’adoption d’attitudes irresponsables et un mépris des normes,</w:t>
      </w:r>
    </w:p>
    <w:p>
      <w:r>
        <w:t>- 7 -</w:t>
      </w:r>
    </w:p>
    <w:p>
      <w:r>
        <w:t>des règles et des contraintes sociales (cf. rapport d’expertise médico-légale psychiatrique du 6 janvier 2009) et que les experts militaires l’ont pour leur part qualifié de « personnalité marquée par des traits caractériels (…) et une tendance à ne pas respecter certaines normes sociales et règlements » (cf. rapport du 3 février 2009), deux appréciations versées au dossier que les coups de pieds et de poings portés par X___________ à la Ford Focus de F___________, le G___________ 2011, ne viennent en tout cas pas contredire, de même que les différentes dépositions faisant état de sa propension à « péter un câble ». Dans l’attente du rapport d’expertise à venir, voire de conclusions provisoires dans la mesure où il leur serait possible d’en formuler (arrêt 1B_157/2008 du 9 juillet 2008 consid. 4.3), il ne saurait donc être question pour l’autorité de céans de se substituer aux spécialistes avec les moyens du bord et d’apprécier le danger de réitération sur la seule base du dossier, ni d’ordonner provisoirement des mesures de substitution au sens de l’art. 237 al. 1 et 2 CPP. En effet, l’intérêt à la sécurité publique doit l’emporter sur la liberté personnelle du recourant, pour lequel rien n’indique au surplus qu’il ne peut s’en prendre qu’à ses amies. En tout état de cause, il n’appartient pas à la chambre pénale de se prononcer sur le bien-fondé ou non de l’expertise psychiatrique en cours d’administration (arrêt 1B_42/2012 du 14 février 2012 consid. 3.2), d’autant que X___________ s’est bien gardé d’en contester l’utilité jusqu’à présent. 5. Le risque de récidive étant admis, il est inutile d’examiner ceux alternatifs de fuite et de collusion. Quant à l’existence de charges suffisantes, elle n’est pas remise en cause, tout comme la durée de l’incarcération déjà subie, sous l’angle du principe de la proportionnalité. Il n’y a donc pas lieu d’examiner ces deux conditions supplémentaires de la détention provisoire que le Tribunal des mesures de contrainte a de toute façon apprécié correctement. Il s’ensuit le rejet du recours. 6. Comme X___________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l’occurrence, eu égard à la complexité moyenne de l’affaire, il est arrêté forfaitairement à 600 fr. (art. 424 al. 2 CPP et 11 LTar).</w:t>
      </w:r>
    </w:p>
    <w:p>
      <w:r>
        <w:t>Prononce</w:t>
      </w:r>
    </w:p>
    <w:p>
      <w:r>
        <w:t>1. Le recours est rejeté.</w:t>
      </w:r>
    </w:p>
    <w:p>
      <w:r>
        <w:t>- 8 -</w:t>
      </w:r>
    </w:p>
    <w:p>
      <w:r>
        <w:t>2. Les frais de la procédure de recours, par 600 francs, sont mis à la charge de X___________.</w:t>
      </w:r>
    </w:p>
    <w:p>
      <w:r>
        <w:t>Sion, le 6 mars 2012</w:t>
      </w:r>
    </w:p>
    <w:p>
      <w:r>
        <w:rPr>
          <w:b/>
        </w:rPr>
        <w:t>E. 7</w:t>
      </w:r>
    </w:p>
    <w:p>
      <w:r>
        <w:t>décembre 2011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